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 w:hAnsi="仿宋" w:eastAsia="仿宋" w:cs="仿宋"/>
          <w:color w:val="000000"/>
          <w:szCs w:val="32"/>
          <w:highlight w:val="none"/>
        </w:rPr>
      </w:pPr>
      <w:r>
        <w:rPr>
          <w:rFonts w:hint="eastAsia" w:ascii="仿宋" w:hAnsi="仿宋" w:eastAsia="仿宋" w:cs="仿宋"/>
          <w:color w:val="000000"/>
          <w:szCs w:val="32"/>
          <w:highlight w:val="none"/>
        </w:rPr>
        <w:t>附件：</w:t>
      </w:r>
      <w:bookmarkStart w:id="2" w:name="_GoBack"/>
      <w:bookmarkEnd w:id="2"/>
    </w:p>
    <w:p>
      <w:pPr>
        <w:pStyle w:val="2"/>
        <w:ind w:left="0" w:leftChars="0" w:firstLine="0" w:firstLineChars="0"/>
        <w:jc w:val="center"/>
        <w:rPr>
          <w:rFonts w:ascii="仿宋_GB2312" w:hAnsi="仿宋"/>
          <w:b/>
          <w:snapToGrid w:val="0"/>
          <w:kern w:val="0"/>
          <w:highlight w:val="none"/>
        </w:rPr>
      </w:pPr>
      <w:bookmarkStart w:id="0" w:name="_Toc1869"/>
      <w:r>
        <w:rPr>
          <w:rFonts w:hint="eastAsia"/>
          <w:highlight w:val="none"/>
        </w:rPr>
        <w:t>单位简介</w:t>
      </w:r>
      <w:bookmarkEnd w:id="0"/>
    </w:p>
    <w:p>
      <w:pPr>
        <w:ind w:firstLine="635"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w w:val="99"/>
          <w:kern w:val="2"/>
          <w:sz w:val="32"/>
          <w:szCs w:val="32"/>
          <w14:textFill>
            <w14:solidFill>
              <w14:schemeClr w14:val="tx1"/>
            </w14:solidFill>
          </w14:textFill>
        </w:rPr>
        <w:t>中国农业科学院兰州兽医研究所</w:t>
      </w:r>
      <w:r>
        <w:rPr>
          <w:rFonts w:hint="eastAsia" w:ascii="仿宋" w:hAnsi="仿宋" w:eastAsia="仿宋" w:cs="仿宋"/>
          <w:b w:val="0"/>
          <w:bCs w:val="0"/>
          <w:color w:val="000000"/>
          <w:w w:val="99"/>
          <w:kern w:val="2"/>
          <w:sz w:val="32"/>
          <w:szCs w:val="32"/>
        </w:rPr>
        <w:t>成</w:t>
      </w:r>
      <w:r>
        <w:rPr>
          <w:rFonts w:hint="eastAsia" w:ascii="仿宋" w:hAnsi="仿宋" w:eastAsia="仿宋" w:cs="仿宋"/>
          <w:b w:val="0"/>
          <w:bCs w:val="0"/>
          <w:snapToGrid w:val="0"/>
          <w:kern w:val="0"/>
          <w:sz w:val="32"/>
          <w:szCs w:val="32"/>
          <w:highlight w:val="none"/>
          <w:lang w:val="en-US" w:eastAsia="zh-CN" w:bidi="ar-SA"/>
        </w:rPr>
        <w:t>立于1957年，是农业农村部举办的</w:t>
      </w:r>
      <w:r>
        <w:rPr>
          <w:rFonts w:hint="eastAsia" w:ascii="仿宋" w:hAnsi="仿宋" w:eastAsia="仿宋" w:cs="仿宋"/>
          <w:b w:val="0"/>
          <w:bCs w:val="0"/>
          <w:color w:val="000000" w:themeColor="text1"/>
          <w:sz w:val="32"/>
          <w:szCs w:val="32"/>
          <w14:textFill>
            <w14:solidFill>
              <w14:schemeClr w14:val="tx1"/>
            </w14:solidFill>
          </w14:textFill>
        </w:rPr>
        <w:t>从事口蹄疫、非洲猪瘟、包虫病等重大动物疫病和人兽共患病基础理论和防控技术研究的国家级科研机构，</w:t>
      </w:r>
      <w:r>
        <w:rPr>
          <w:rFonts w:hint="eastAsia" w:ascii="仿宋" w:hAnsi="仿宋" w:eastAsia="仿宋" w:cs="仿宋"/>
          <w:b w:val="0"/>
          <w:bCs w:val="0"/>
          <w:snapToGrid w:val="0"/>
          <w:kern w:val="0"/>
          <w:sz w:val="32"/>
          <w:szCs w:val="32"/>
          <w:highlight w:val="none"/>
          <w:lang w:val="en-US" w:eastAsia="zh-CN" w:bidi="ar-SA"/>
        </w:rPr>
        <w:t>隶属于中国农业科学院管理，</w:t>
      </w:r>
      <w:r>
        <w:rPr>
          <w:rFonts w:hint="eastAsia" w:ascii="仿宋" w:hAnsi="仿宋" w:eastAsia="仿宋" w:cs="仿宋"/>
          <w:b w:val="0"/>
          <w:bCs w:val="0"/>
          <w:color w:val="000000" w:themeColor="text1"/>
          <w:sz w:val="32"/>
          <w:szCs w:val="32"/>
          <w14:textFill>
            <w14:solidFill>
              <w14:schemeClr w14:val="tx1"/>
            </w14:solidFill>
          </w14:textFill>
        </w:rPr>
        <w:t>2006年1月经中编办批准加挂“中国动物卫生与流行病学中心兰州分中心”</w:t>
      </w:r>
      <w:r>
        <w:rPr>
          <w:rFonts w:hint="eastAsia" w:ascii="仿宋" w:hAnsi="仿宋" w:eastAsia="仿宋" w:cs="仿宋"/>
          <w:b w:val="0"/>
          <w:bCs w:val="0"/>
          <w:color w:val="000000" w:themeColor="text1"/>
          <w:sz w:val="32"/>
          <w:szCs w:val="32"/>
          <w:lang w:eastAsia="zh-CN"/>
          <w14:textFill>
            <w14:solidFill>
              <w14:schemeClr w14:val="tx1"/>
            </w14:solidFill>
          </w14:textFill>
        </w:rPr>
        <w:t>的牌子。</w:t>
      </w:r>
      <w:r>
        <w:rPr>
          <w:rFonts w:hint="eastAsia" w:ascii="仿宋" w:hAnsi="仿宋" w:eastAsia="仿宋" w:cs="仿宋"/>
          <w:b w:val="0"/>
          <w:bCs w:val="0"/>
          <w:snapToGrid w:val="0"/>
          <w:kern w:val="0"/>
          <w:sz w:val="32"/>
          <w:szCs w:val="32"/>
          <w:highlight w:val="none"/>
          <w:lang w:val="en-US" w:eastAsia="zh-CN" w:bidi="ar-SA"/>
        </w:rPr>
        <w:t>现有在职人员287人，其中高级职称138人，国家级和省部级人才36人次，博士生导师40人，在站博士后20人。拥有兽医学A+学科，是动物疫病防控全国重点实验室、</w:t>
      </w:r>
      <w:r>
        <w:rPr>
          <w:rFonts w:hint="eastAsia" w:ascii="仿宋" w:hAnsi="仿宋" w:eastAsia="仿宋" w:cs="仿宋"/>
          <w:b w:val="0"/>
          <w:bCs w:val="0"/>
          <w:sz w:val="32"/>
          <w:szCs w:val="32"/>
        </w:rPr>
        <w:t>国家口蹄疫参考实验室、国家非洲猪瘟区域实验室、国家包虫病专业实验室、国家生猪科技创新西北分中心和国家兽医微生物菌（毒）种保藏分中心兰州分中心等</w:t>
      </w:r>
      <w:r>
        <w:rPr>
          <w:rFonts w:hint="eastAsia" w:ascii="仿宋" w:hAnsi="仿宋" w:eastAsia="仿宋" w:cs="仿宋"/>
          <w:b w:val="0"/>
          <w:bCs w:val="0"/>
          <w:sz w:val="32"/>
          <w:szCs w:val="32"/>
          <w:lang w:val="en-US" w:eastAsia="zh-CN"/>
        </w:rPr>
        <w:t>6个</w:t>
      </w:r>
      <w:r>
        <w:rPr>
          <w:rFonts w:hint="eastAsia" w:ascii="仿宋" w:hAnsi="仿宋" w:eastAsia="仿宋" w:cs="仿宋"/>
          <w:b w:val="0"/>
          <w:bCs w:val="0"/>
          <w:sz w:val="32"/>
          <w:szCs w:val="32"/>
        </w:rPr>
        <w:t>国家级平台</w:t>
      </w:r>
      <w:r>
        <w:rPr>
          <w:rFonts w:hint="eastAsia" w:ascii="仿宋" w:hAnsi="仿宋" w:eastAsia="仿宋" w:cs="仿宋"/>
          <w:b w:val="0"/>
          <w:bCs w:val="0"/>
          <w:sz w:val="32"/>
          <w:szCs w:val="32"/>
          <w:lang w:eastAsia="zh-CN"/>
        </w:rPr>
        <w:t>和</w:t>
      </w:r>
      <w:r>
        <w:rPr>
          <w:rFonts w:hint="eastAsia" w:ascii="仿宋" w:hAnsi="仿宋" w:eastAsia="仿宋" w:cs="仿宋"/>
          <w:b w:val="0"/>
          <w:bCs w:val="0"/>
          <w:snapToGrid w:val="0"/>
          <w:kern w:val="0"/>
          <w:sz w:val="32"/>
          <w:szCs w:val="32"/>
          <w:highlight w:val="none"/>
          <w:lang w:val="en-US" w:eastAsia="zh-CN" w:bidi="ar-SA"/>
        </w:rPr>
        <w:t>世界动物卫生组织（WOAH）参考实验室等</w:t>
      </w:r>
      <w:r>
        <w:rPr>
          <w:rFonts w:hint="eastAsia" w:ascii="仿宋" w:hAnsi="仿宋" w:eastAsia="仿宋" w:cs="仿宋"/>
          <w:b w:val="0"/>
          <w:bCs w:val="0"/>
          <w:sz w:val="32"/>
          <w:szCs w:val="32"/>
          <w:lang w:val="en-US" w:eastAsia="zh-CN"/>
        </w:rPr>
        <w:t>9个国际平台</w:t>
      </w:r>
      <w:r>
        <w:rPr>
          <w:rFonts w:hint="eastAsia" w:ascii="仿宋" w:hAnsi="仿宋" w:eastAsia="仿宋" w:cs="仿宋"/>
          <w:b w:val="0"/>
          <w:bCs w:val="0"/>
          <w:sz w:val="32"/>
          <w:szCs w:val="32"/>
          <w:lang w:eastAsia="zh-CN"/>
        </w:rPr>
        <w:t>的依托单位</w:t>
      </w:r>
      <w:r>
        <w:rPr>
          <w:rFonts w:hint="eastAsia" w:ascii="仿宋" w:hAnsi="仿宋" w:eastAsia="仿宋" w:cs="仿宋"/>
          <w:b w:val="0"/>
          <w:bCs w:val="0"/>
          <w:sz w:val="32"/>
          <w:szCs w:val="32"/>
        </w:rPr>
        <w:t>，</w:t>
      </w:r>
      <w:r>
        <w:rPr>
          <w:rFonts w:hint="eastAsia" w:ascii="仿宋" w:hAnsi="仿宋" w:eastAsia="仿宋" w:cs="仿宋"/>
          <w:b w:val="0"/>
          <w:bCs w:val="0"/>
          <w:snapToGrid w:val="0"/>
          <w:kern w:val="0"/>
          <w:sz w:val="32"/>
          <w:szCs w:val="32"/>
          <w:highlight w:val="none"/>
          <w:lang w:val="en-US" w:eastAsia="zh-CN" w:bidi="ar-SA"/>
        </w:rPr>
        <w:t>拥有高级别生物安全实验室（ABSL-3/BSL-3）。</w:t>
      </w:r>
      <w:r>
        <w:rPr>
          <w:rFonts w:hint="eastAsia" w:ascii="仿宋" w:hAnsi="仿宋" w:eastAsia="仿宋" w:cs="仿宋"/>
          <w:b w:val="0"/>
          <w:bCs w:val="0"/>
          <w:sz w:val="32"/>
          <w:szCs w:val="32"/>
        </w:rPr>
        <w:t>在国家重大烈性传染病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人兽共患病战略布局和科技创新</w:t>
      </w:r>
      <w:r>
        <w:rPr>
          <w:rFonts w:hint="eastAsia" w:ascii="仿宋" w:hAnsi="仿宋" w:eastAsia="仿宋" w:cs="仿宋"/>
          <w:b w:val="0"/>
          <w:bCs w:val="0"/>
          <w:sz w:val="32"/>
          <w:szCs w:val="32"/>
          <w:lang w:eastAsia="zh-CN"/>
        </w:rPr>
        <w:t>以及</w:t>
      </w:r>
      <w:r>
        <w:rPr>
          <w:rFonts w:hint="eastAsia" w:ascii="仿宋" w:hAnsi="仿宋" w:eastAsia="仿宋" w:cs="仿宋"/>
          <w:b w:val="0"/>
          <w:bCs w:val="0"/>
          <w:sz w:val="32"/>
          <w:szCs w:val="32"/>
        </w:rPr>
        <w:t>重大动物疫病疫情监测、基础性资源采集等方面发挥着关键支撑作用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在我国参与国际兽医公共卫生事务和国际贸易规则制定中发挥着核心技术支撑作用。</w:t>
      </w:r>
      <w:r>
        <w:rPr>
          <w:rFonts w:hint="eastAsia" w:ascii="仿宋" w:hAnsi="仿宋" w:eastAsia="仿宋" w:cs="仿宋"/>
          <w:b w:val="0"/>
          <w:bCs w:val="0"/>
          <w:sz w:val="32"/>
          <w:szCs w:val="32"/>
          <w:lang w:val="en-US" w:eastAsia="zh-CN"/>
        </w:rPr>
        <w:t>科技创新能力和成果转化实力居国内领先水平。“十四五”以来，研究所科技创新与成果转化取得良</w:t>
      </w:r>
      <w:r>
        <w:rPr>
          <w:rFonts w:hint="eastAsia" w:ascii="仿宋" w:hAnsi="仿宋" w:eastAsia="仿宋" w:cs="仿宋"/>
          <w:b w:val="0"/>
          <w:bCs w:val="0"/>
          <w:snapToGrid w:val="0"/>
          <w:kern w:val="0"/>
          <w:sz w:val="32"/>
          <w:szCs w:val="32"/>
          <w:highlight w:val="none"/>
          <w:lang w:val="en-US" w:eastAsia="zh-CN" w:bidi="ar-SA"/>
        </w:rPr>
        <w:t>好开局，为全面推进学科建设整体跃升，实现研究所高水平现代化发展，进一步发挥国家战略科技力量作用。</w:t>
      </w:r>
    </w:p>
    <w:p>
      <w:pPr>
        <w:ind w:firstLine="643"/>
        <w:rPr>
          <w:rFonts w:ascii="仿宋_GB2312" w:hAnsi="仿宋" w:cs="仿宋"/>
          <w:snapToGrid w:val="0"/>
          <w:kern w:val="0"/>
          <w:szCs w:val="32"/>
          <w:highlight w:val="none"/>
        </w:rPr>
      </w:pPr>
      <w:r>
        <w:rPr>
          <w:rFonts w:hint="eastAsia" w:ascii="仿宋_GB2312" w:hAnsi="仿宋" w:cs="仿宋"/>
          <w:b/>
          <w:snapToGrid w:val="0"/>
          <w:kern w:val="0"/>
          <w:szCs w:val="32"/>
          <w:highlight w:val="none"/>
        </w:rPr>
        <w:t>兰州大学动物医学与生物安全学院</w:t>
      </w:r>
      <w:r>
        <w:rPr>
          <w:rFonts w:hint="eastAsia" w:ascii="仿宋_GB2312" w:hAnsi="仿宋" w:cs="仿宋"/>
          <w:snapToGrid w:val="0"/>
          <w:kern w:val="0"/>
          <w:szCs w:val="32"/>
          <w:highlight w:val="none"/>
        </w:rPr>
        <w:t>成立于2021年6月9日，隶属于兰州大学教学科研单位建制序列，是兰州大学与中国农业科学院兰州兽医研究所高起点、高标准、高水平共建的研究型学院。学院致力于在动物疫病防控、生物安全技术、动物生物制品及药品研发、比较医学研究等领域开展高水平科技创新及高层次人才培养。学院现有专任教师39人（教授24人，副教授15人），萃英博士后6人，全部拥有博士学位。学</w:t>
      </w:r>
      <w:r>
        <w:rPr>
          <w:rFonts w:hint="eastAsia" w:ascii="仿宋" w:hAnsi="仿宋" w:eastAsia="仿宋" w:cs="仿宋"/>
          <w:snapToGrid w:val="0"/>
          <w:kern w:val="0"/>
          <w:szCs w:val="32"/>
          <w:highlight w:val="none"/>
        </w:rPr>
        <w:t>院</w:t>
      </w:r>
      <w:r>
        <w:rPr>
          <w:rFonts w:hint="eastAsia" w:ascii="仿宋" w:hAnsi="仿宋" w:eastAsia="仿宋" w:cs="仿宋"/>
          <w:snapToGrid w:val="0"/>
          <w:kern w:val="0"/>
          <w:szCs w:val="32"/>
          <w:highlight w:val="none"/>
          <w:lang w:val="en-US" w:eastAsia="zh-CN"/>
        </w:rPr>
        <w:t>另</w:t>
      </w:r>
      <w:r>
        <w:rPr>
          <w:rFonts w:hint="eastAsia" w:ascii="仿宋" w:hAnsi="仿宋" w:eastAsia="仿宋" w:cs="仿宋"/>
          <w:snapToGrid w:val="0"/>
          <w:kern w:val="0"/>
          <w:szCs w:val="32"/>
          <w:highlight w:val="none"/>
        </w:rPr>
        <w:t>聘有萃英讲席教授2人，校内双聘教师13人，兼职教授9人</w:t>
      </w:r>
      <w:r>
        <w:rPr>
          <w:rFonts w:hint="eastAsia" w:ascii="仿宋_GB2312" w:hAnsi="仿宋" w:cs="仿宋"/>
          <w:snapToGrid w:val="0"/>
          <w:kern w:val="0"/>
          <w:szCs w:val="32"/>
          <w:highlight w:val="none"/>
        </w:rPr>
        <w:t>。学院教师近三年来承担项目包括国家重点研发计划项目、省科技厅重大专项项目、国家自然科学基金等国家、省部级重大重点项目40余项。学院本硕博人才培养体系健全，拥有生物安全交叉学科学术学位博士授权点和硕士授权点、基础医学（免疫学、病原生物学）学术学位博士授权点和硕士授权点、生物与医药专业学位博士授权点和硕士授权点，生物制药本科专业、疫苗创制微专业。学院建有病毒学研究所、人兽共患病研究所、动物新药研究所、动物健康与生态研究所、动物免疫学研究所、生物制品新材料研究所、比较医学研究所等。</w:t>
      </w:r>
    </w:p>
    <w:p>
      <w:pPr>
        <w:pStyle w:val="2"/>
        <w:ind w:left="0" w:leftChars="0" w:firstLine="0" w:firstLineChars="0"/>
        <w:jc w:val="center"/>
        <w:rPr>
          <w:rFonts w:ascii="仿宋_GB2312" w:hAnsi="仿宋"/>
          <w:b/>
          <w:snapToGrid w:val="0"/>
          <w:kern w:val="0"/>
          <w:highlight w:val="none"/>
        </w:rPr>
      </w:pPr>
      <w:bookmarkStart w:id="1" w:name="_Toc9317"/>
      <w:r>
        <w:rPr>
          <w:rFonts w:hint="eastAsia"/>
          <w:highlight w:val="none"/>
          <w:lang w:val="en-US" w:eastAsia="zh-CN"/>
        </w:rPr>
        <w:t>重大平台</w:t>
      </w:r>
      <w:r>
        <w:rPr>
          <w:rFonts w:hint="eastAsia"/>
          <w:highlight w:val="none"/>
        </w:rPr>
        <w:t>简介</w:t>
      </w:r>
      <w:bookmarkEnd w:id="1"/>
    </w:p>
    <w:p>
      <w:pPr>
        <w:ind w:firstLine="643"/>
        <w:rPr>
          <w:rFonts w:ascii="仿宋_GB2312" w:hAnsi="仿宋" w:cs="仿宋"/>
          <w:snapToGrid w:val="0"/>
          <w:kern w:val="0"/>
          <w:szCs w:val="32"/>
          <w:highlight w:val="none"/>
        </w:rPr>
      </w:pPr>
      <w:r>
        <w:rPr>
          <w:rFonts w:hint="eastAsia" w:ascii="仿宋_GB2312" w:hAnsi="仿宋" w:cs="仿宋"/>
          <w:b/>
          <w:snapToGrid w:val="0"/>
          <w:kern w:val="0"/>
          <w:szCs w:val="32"/>
          <w:highlight w:val="none"/>
        </w:rPr>
        <w:t>动物疫病防控全国重点实验室</w:t>
      </w:r>
      <w:r>
        <w:rPr>
          <w:rFonts w:hint="eastAsia" w:ascii="仿宋_GB2312" w:hAnsi="仿宋" w:cs="仿宋"/>
          <w:snapToGrid w:val="0"/>
          <w:kern w:val="0"/>
          <w:szCs w:val="32"/>
          <w:highlight w:val="none"/>
        </w:rPr>
        <w:t>由原依托于中国农业科学院兰州兽医研究所的家畜疫病病原生物学国家重点实验室和哈尔滨兽医研究所的兽医生物技术国家重点实验室于2022年重组而成，现依托单位包括兰州兽医研究所和兰州大学。原家畜疫病病原生物学国家重点实验室成立于2006年，致力于通过动物疫病防控科技创新，从源头保障国家畜牧业安全、粮食安全和生物安全等国家重大需求，聚焦非洲猪瘟、口蹄疫、包虫病、布鲁氏菌病等动物重大疫病和人畜共患病，通过病原流行变异规律、感染致病及免疫机制等基础研究发现，指导设计和创制动物用安全高效疫苗和新型诊断制剂，着力攻克非洲猪瘟无苗可用与佐剂“卡脖子”难题，支撑我国动物重大疫病和人兽共患病有效控制、净化和根除。实验室现拥有我国体量最大的生物安全三级实验室集群以及国家/WOAH 口蹄疫参考实验室、国家非洲猪瘟区域实验室、国家包虫病专业实验室、农业农村部动物病原生物学与疫病防控学科群、甘肃省病原生物学基础学科研究中心等18个重大科技平台，现有国家和省部级人才64人次，与兰州大学共建有动物医学与生物安全学院，畅通人才培养渠道。实验室在动物疫病防控科技创新领域处于引领地位，先后获国家科技奖14项，疫苗和诊断等新兽药58项，其中一类新兽药8项，制修订国家和行业标准21项，这些成果为控制口蹄疫等重大动物疫病发挥了决定性作用，促进了畜牧产业和生物医药行业发展，发挥着国家战略科技力量作用。</w:t>
      </w:r>
    </w:p>
    <w:p>
      <w:pPr>
        <w:ind w:firstLine="643"/>
        <w:rPr>
          <w:rFonts w:ascii="仿宋_GB2312" w:hAnsi="仿宋" w:cs="仿宋"/>
          <w:snapToGrid w:val="0"/>
          <w:kern w:val="0"/>
          <w:szCs w:val="32"/>
          <w:highlight w:val="none"/>
        </w:rPr>
      </w:pPr>
      <w:r>
        <w:rPr>
          <w:rFonts w:hint="eastAsia" w:ascii="仿宋_GB2312" w:hAnsi="仿宋" w:cs="仿宋"/>
          <w:b/>
          <w:snapToGrid w:val="0"/>
          <w:kern w:val="0"/>
          <w:szCs w:val="32"/>
          <w:highlight w:val="none"/>
        </w:rPr>
        <w:t>生物安全实验室是</w:t>
      </w:r>
      <w:r>
        <w:rPr>
          <w:rFonts w:hint="eastAsia" w:ascii="仿宋_GB2312" w:hAnsi="仿宋" w:cs="仿宋"/>
          <w:snapToGrid w:val="0"/>
          <w:kern w:val="0"/>
          <w:szCs w:val="32"/>
          <w:highlight w:val="none"/>
        </w:rPr>
        <w:t>我国体量最大的高等级生物安全实验室设施集群，包括动物生物安全三级实验室和国家口蹄疫参考实验室（ABSL-3）2个通过国家认可的实验室，4栋建筑，总建筑面积4.4万平方米，包含大动物ABSL-3核心工作间34间，小动物ABSL-3核心工作间7间及BSL-3核心工作间12间。作为国家生物安全体系基础支撑平台和院所重要战略资源平台，承担着烈性传染病病原学、检测和监测、抗病毒药和疫苗研究及相关技术成果转化与产业化重任，尤其是非洲猪瘟亚单位疫苗、口蹄疫新型疫苗、牛结节性皮肤病疫苗等重大动物疫病防控产品创制攻关重任。已获得口蹄疫病毒、非洲猪瘟病毒、绵羊痘/山羊痘病毒、牛结节性皮肤病病毒、小反刍兽疫病毒、蓝舌病病毒、新城疫病毒、狂犬病病毒、布鲁氏杆菌、结核分枝杆菌、牛结核分枝杆菌、猪瘟病毒、非洲马瘟病毒、高致病性禽流感病毒、猴痘病毒、新型冠状病毒和猪水泡病17种病原微生物CNAS认可资质。</w:t>
      </w:r>
    </w:p>
    <w:p>
      <w:pPr>
        <w:ind w:firstLine="643"/>
        <w:rPr>
          <w:rFonts w:hint="eastAsia" w:ascii="仿宋_GB2312" w:hAnsi="仿宋" w:cs="仿宋"/>
          <w:snapToGrid w:val="0"/>
          <w:kern w:val="0"/>
          <w:szCs w:val="32"/>
          <w:highlight w:val="none"/>
        </w:rPr>
      </w:pPr>
      <w:r>
        <w:rPr>
          <w:rFonts w:hint="eastAsia" w:ascii="仿宋_GB2312" w:hAnsi="仿宋" w:cs="仿宋"/>
          <w:b/>
          <w:snapToGrid w:val="0"/>
          <w:kern w:val="0"/>
          <w:szCs w:val="32"/>
          <w:highlight w:val="none"/>
        </w:rPr>
        <w:t>兰州大学电镜中心</w:t>
      </w:r>
      <w:r>
        <w:rPr>
          <w:rFonts w:hint="eastAsia" w:ascii="仿宋_GB2312" w:hAnsi="仿宋" w:cs="仿宋"/>
          <w:snapToGrid w:val="0"/>
          <w:kern w:val="0"/>
          <w:szCs w:val="32"/>
          <w:highlight w:val="none"/>
        </w:rPr>
        <w:t>是兰州大学组建的跨学科大型仪器设备开放服务及研究平台，拥有总价值</w:t>
      </w:r>
      <w:r>
        <w:rPr>
          <w:rFonts w:ascii="仿宋_GB2312" w:hAnsi="仿宋" w:cs="仿宋"/>
          <w:snapToGrid w:val="0"/>
          <w:kern w:val="0"/>
          <w:szCs w:val="32"/>
          <w:highlight w:val="none"/>
        </w:rPr>
        <w:t>4</w:t>
      </w:r>
      <w:r>
        <w:rPr>
          <w:rFonts w:hint="eastAsia" w:ascii="仿宋_GB2312" w:hAnsi="仿宋" w:cs="仿宋"/>
          <w:snapToGrid w:val="0"/>
          <w:kern w:val="0"/>
          <w:szCs w:val="32"/>
          <w:highlight w:val="none"/>
        </w:rPr>
        <w:t>亿元的各类型电镜和样品制备设备，其中价值1000万以上的设备超过10台，包括300kV冷冻电镜Titan Krios G3i、物镜球差校正透射电镜Spectra 300、聚光镜球差校正透射电镜FEI Titan Cubed Themis G2 300等，能在原子级分辨率的层次上为生物学、化学、医学、农学等跨自然学科提供形貌、微结构、化学元素、电子态和动态物理学过程的分析与研究。</w:t>
      </w:r>
    </w:p>
    <w:p>
      <w:pPr>
        <w:pStyle w:val="2"/>
        <w:ind w:left="0" w:leftChars="0" w:firstLine="0" w:firstLineChars="0"/>
        <w:jc w:val="center"/>
        <w:rPr>
          <w:rFonts w:hint="default"/>
          <w:highlight w:val="none"/>
          <w:lang w:val="en-US" w:eastAsia="zh-CN"/>
        </w:rPr>
      </w:pPr>
      <w:r>
        <w:rPr>
          <w:rFonts w:hint="eastAsia"/>
          <w:highlight w:val="none"/>
          <w:lang w:val="en-US" w:eastAsia="zh-CN"/>
        </w:rPr>
        <w:t>两中心简介</w:t>
      </w:r>
    </w:p>
    <w:p>
      <w:pPr>
        <w:ind w:firstLine="643"/>
        <w:rPr>
          <w:rFonts w:hint="eastAsia" w:ascii="仿宋_GB2312" w:hAnsi="仿宋" w:cs="仿宋"/>
          <w:snapToGrid w:val="0"/>
          <w:kern w:val="0"/>
          <w:szCs w:val="32"/>
          <w:highlight w:val="none"/>
        </w:rPr>
      </w:pPr>
      <w:r>
        <w:rPr>
          <w:rFonts w:hint="eastAsia" w:ascii="仿宋_GB2312" w:hAnsi="仿宋" w:cs="仿宋"/>
          <w:b/>
          <w:snapToGrid w:val="0"/>
          <w:kern w:val="0"/>
          <w:szCs w:val="32"/>
          <w:highlight w:val="none"/>
        </w:rPr>
        <w:t>深圳生物制品前沿创新中心</w:t>
      </w:r>
      <w:r>
        <w:rPr>
          <w:rFonts w:hint="eastAsia" w:ascii="仿宋_GB2312" w:hAnsi="仿宋" w:cs="仿宋"/>
          <w:snapToGrid w:val="0"/>
          <w:kern w:val="0"/>
          <w:szCs w:val="32"/>
          <w:highlight w:val="none"/>
        </w:rPr>
        <w:t>（简称“生物制品中心”）是由中共深圳市委机构编制委员会批准，中国农业科学院兰州兽医研究所和深圳市光明区人民政府利用国有资产创办的事业单位，于2023年10月正式成立。主要职责是坚持四个面向，汇集引领性生物科技高端人才，支撑国际领先水平的重大动物疾病、人兽共患病与生物安全创新研究及开发体系，服务深圳“双区驱动”发展战略及经济社会发展。坐落于光明科学园区的生物制品中心依托于兰兽研国际领先的动物疫病防控创新开发平台，以及深圳大湾区科学园区的生物制药综合创新平台，设立前沿免疫学学科创新群体、新型诊断技术创新与应用群体、疫苗设计创制与产业化群体和动物药物与制剂研发及产业化群体四个学科领域。针对重大动物疫病及人兽共患病，开展生物科学研究、疫苗研发、产业技术创新与应用、生物科技成果中试熟化、试验示范和转移转化、科技培训、技术咨询服务、科技产业孵化育成、高端人才集聚与培养，在大湾区打造对标国际一流的生物制品产业创新前沿中心、成果转化基地和人才集聚高地。</w:t>
      </w:r>
    </w:p>
    <w:p>
      <w:pPr>
        <w:bidi w:val="0"/>
        <w:rPr>
          <w:rFonts w:hint="eastAsia"/>
          <w:highlight w:val="none"/>
          <w:lang w:val="en-US" w:eastAsia="zh-CN"/>
        </w:rPr>
      </w:pPr>
      <w:r>
        <w:rPr>
          <w:rFonts w:hint="eastAsia"/>
          <w:b/>
          <w:bCs/>
          <w:highlight w:val="none"/>
          <w:lang w:val="en-US" w:eastAsia="zh-CN"/>
        </w:rPr>
        <w:t>成都中心兰兽研动物疫病防控研究院</w:t>
      </w:r>
      <w:r>
        <w:rPr>
          <w:rFonts w:hint="eastAsia"/>
          <w:highlight w:val="none"/>
          <w:lang w:val="en-US" w:eastAsia="zh-CN"/>
        </w:rPr>
        <w:t>（简称“兰兽研成都动物疫病防控研究院”），是由成都农业科技中心、中国农业科学院兰州兽医研究所与四川天府新区管理委员会联合建立，于2023年10月正式签署协议。兰兽研成都中心疫病防控研究院是全面落实中国农业科学院关于区域中心“科学规划、统筹兼顾、合规管理、有序建设”要求的具体行动，是中国农业科学院和成都市深化合作的进一步拓展，该研究院将面向西南地区动物疫病防控重大需求，特别是生物安全、生猪重大疫病和人兽共患病防控需求等，开展动物疫病防控领域应用性科技研发、关键技术攻关与集成，着力突破一批原创性、引领性的技术和“卡脖子”问题，加快推进西南地区生物科技创新、人才高地建设及动物疫病防控科技成果产业化。</w:t>
      </w:r>
    </w:p>
    <w:p>
      <w:pPr>
        <w:pStyle w:val="2"/>
        <w:bidi w:val="0"/>
        <w:ind w:left="0" w:leftChars="0" w:firstLine="0" w:firstLineChars="0"/>
        <w:jc w:val="center"/>
        <w:rPr>
          <w:rFonts w:hint="default"/>
          <w:highlight w:val="none"/>
          <w:lang w:val="en-US" w:eastAsia="zh-CN"/>
        </w:rPr>
      </w:pPr>
      <w:r>
        <w:rPr>
          <w:rFonts w:hint="eastAsia"/>
          <w:highlight w:val="none"/>
          <w:lang w:val="en-US" w:eastAsia="zh-CN"/>
        </w:rPr>
        <w:t>两公司简介</w:t>
      </w:r>
    </w:p>
    <w:p>
      <w:pPr>
        <w:ind w:firstLine="643"/>
        <w:rPr>
          <w:rFonts w:hint="eastAsia" w:ascii="仿宋_GB2312" w:hAnsi="仿宋" w:cs="仿宋"/>
          <w:snapToGrid w:val="0"/>
          <w:kern w:val="0"/>
          <w:szCs w:val="32"/>
          <w:highlight w:val="none"/>
        </w:rPr>
      </w:pPr>
      <w:r>
        <w:rPr>
          <w:rFonts w:hint="eastAsia" w:ascii="仿宋_GB2312" w:hAnsi="仿宋" w:cs="仿宋"/>
          <w:b/>
          <w:snapToGrid w:val="0"/>
          <w:kern w:val="0"/>
          <w:szCs w:val="32"/>
          <w:highlight w:val="none"/>
        </w:rPr>
        <w:t>中农威特生物科技股份有限公司</w:t>
      </w:r>
      <w:r>
        <w:rPr>
          <w:rFonts w:hint="eastAsia" w:ascii="仿宋_GB2312" w:hAnsi="仿宋" w:cs="仿宋"/>
          <w:snapToGrid w:val="0"/>
          <w:kern w:val="0"/>
          <w:szCs w:val="32"/>
          <w:highlight w:val="none"/>
        </w:rPr>
        <w:t>成立于2003年，是专业从事兽用生物制品研发生产经营并提供技术服务的高新技术企业，由兰州兽医研究所、中信农业科技股份有限公司、中国农业科学院、北京康牧兽医药械中心等法人单位出资组建，注册资金5000万元人民币。现有员工436人，其中博士8人、硕士84人、本科240人；正高4人、副高22人、中级106人。公司是以动物保健品为主导产业的大型股份制企业，是农业部指定的口蹄疫灭活疫苗专业生产厂家，公司先后被评为国家高新技术企业、中国动物保健品10强企业、甘肃省战略性新兴产业骨干企业、甘肃省技术创新示范企业、省级高新技术企业。2021年被核准为第一批“甘肃省动物用生物制品创新联合体”牵头单位、第一批“甘肃省兽用疫苗产业链链主龙头企业”，被中国农村技术开发中心和甘肃省科技厅纳入“100+N”开放协同创新体系，被评为兰州高新区建区30周年突出贡献企业，兰州高新区2021年度文明单位。2022年获评甘肃省兽用生物制品制造业创新中心，荣获甘肃省先进企业贡献奖。2023年，公司通过“高新技术企业”复审认定，获批甘肃省2023年度第一批创新型中小企业、甘肃省“专精特新”中小企业、甘肃省2023年绿色工厂、甘肃省知识产权优势企业、强工业省级“白名单”企业（第一批）。</w:t>
      </w:r>
    </w:p>
    <w:p>
      <w:pPr>
        <w:ind w:firstLine="643"/>
        <w:rPr>
          <w:rFonts w:ascii="仿宋_GB2312" w:hAnsi="仿宋" w:cs="仿宋"/>
          <w:snapToGrid w:val="0"/>
          <w:kern w:val="0"/>
          <w:szCs w:val="32"/>
          <w:highlight w:val="none"/>
        </w:rPr>
      </w:pPr>
      <w:r>
        <w:rPr>
          <w:rFonts w:hint="eastAsia" w:ascii="仿宋_GB2312" w:hAnsi="仿宋" w:cs="仿宋"/>
          <w:b/>
          <w:snapToGrid w:val="0"/>
          <w:kern w:val="0"/>
          <w:szCs w:val="32"/>
          <w:highlight w:val="none"/>
        </w:rPr>
        <w:t>兰州兽研生物科技有限公司</w:t>
      </w:r>
      <w:r>
        <w:rPr>
          <w:rFonts w:hint="eastAsia" w:ascii="仿宋_GB2312" w:hAnsi="仿宋" w:cs="仿宋"/>
          <w:snapToGrid w:val="0"/>
          <w:kern w:val="0"/>
          <w:szCs w:val="32"/>
          <w:highlight w:val="none"/>
        </w:rPr>
        <w:t>成立于2020年6月，是中国农业科学院兰州兽医研究所在原诊断中心的基础上，独资创办的生物技术高科技企业，公司定位为兰州兽医研究所、兰州大学的诊断制品成果转化基地，主要从事相关科研成果孵化、工艺熟化及成果推广工作。目前产品共计100余种，涵盖了口蹄疫、非洲猪瘟、禽流感、小反刍兽疫、牛结节皮肤病等重大动物疫病，布鲁氏菌病、包虫病、弓形虫病等人畜共患病。方法涉及分子生物学、免疫学等诊断检测技术。公司建筑面积3000余平方米，各种生产及研发仪器设备200余台（件），目前已获得兽药 GMP 证书并通过“ISO9001:2015”质量管理体系认证，拥有完整的诊断试剂生产线。公司秉承“源于专业、精于实践”的理念，致力于为客户提供一流的诊断制品和技术服务，为我国畜牧业健康发展保驾护航。</w:t>
      </w:r>
    </w:p>
    <w:p>
      <w:pPr>
        <w:ind w:firstLine="0" w:firstLineChars="0"/>
        <w:rPr>
          <w:rFonts w:hint="eastAsia" w:ascii="仿宋" w:hAnsi="仿宋" w:eastAsia="仿宋" w:cs="仿宋"/>
          <w:color w:val="000000"/>
          <w:szCs w:val="32"/>
          <w:highlight w:val="none"/>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40" w:left="158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4622250"/>
                            <w:docPartObj>
                              <w:docPartGallery w:val="autotext"/>
                            </w:docPartObj>
                          </w:sdtPr>
                          <w:sdtEndPr>
                            <w:rPr>
                              <w:sz w:val="21"/>
                              <w:szCs w:val="21"/>
                            </w:rPr>
                          </w:sdtEndPr>
                          <w:sdtContent>
                            <w:p>
                              <w:pPr>
                                <w:pStyle w:val="3"/>
                                <w:rPr>
                                  <w:sz w:val="21"/>
                                  <w:szCs w:val="21"/>
                                </w:rPr>
                              </w:pPr>
                              <w:r>
                                <w:rPr>
                                  <w:rFonts w:hint="eastAsia"/>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16</w:t>
                              </w:r>
                              <w:r>
                                <w:rPr>
                                  <w:sz w:val="21"/>
                                  <w:szCs w:val="21"/>
                                </w:rPr>
                                <w:fldChar w:fldCharType="end"/>
                              </w:r>
                              <w:r>
                                <w:rPr>
                                  <w:rFonts w:hint="eastAsia"/>
                                  <w:sz w:val="21"/>
                                  <w:szCs w:val="21"/>
                                </w:rPr>
                                <w:t>—</w:t>
                              </w:r>
                            </w:p>
                          </w:sdtContent>
                        </w:sdt>
                        <w:p>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374622250"/>
                      <w:docPartObj>
                        <w:docPartGallery w:val="autotext"/>
                      </w:docPartObj>
                    </w:sdtPr>
                    <w:sdtEndPr>
                      <w:rPr>
                        <w:sz w:val="21"/>
                        <w:szCs w:val="21"/>
                      </w:rPr>
                    </w:sdtEndPr>
                    <w:sdtContent>
                      <w:p>
                        <w:pPr>
                          <w:pStyle w:val="3"/>
                          <w:rPr>
                            <w:sz w:val="21"/>
                            <w:szCs w:val="21"/>
                          </w:rPr>
                        </w:pPr>
                        <w:r>
                          <w:rPr>
                            <w:rFonts w:hint="eastAsia"/>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16</w:t>
                        </w:r>
                        <w:r>
                          <w:rPr>
                            <w:sz w:val="21"/>
                            <w:szCs w:val="21"/>
                          </w:rPr>
                          <w:fldChar w:fldCharType="end"/>
                        </w:r>
                        <w:r>
                          <w:rPr>
                            <w:rFonts w:hint="eastAsia"/>
                            <w:sz w:val="21"/>
                            <w:szCs w:val="21"/>
                          </w:rPr>
                          <w:t>—</w:t>
                        </w:r>
                      </w:p>
                    </w:sdtContent>
                  </w:sdt>
                  <w:p>
                    <w:pPr>
                      <w:rPr>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ind w:firstLine="640"/>
    </w:pPr>
  </w:p>
  <w:p>
    <w:pPr>
      <w:ind w:firstLine="640"/>
    </w:pPr>
  </w:p>
  <w:p>
    <w:pPr>
      <w:ind w:firstLine="640"/>
    </w:pPr>
  </w:p>
  <w:p>
    <w:pPr>
      <w:ind w:firstLine="64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ind w:firstLine="640"/>
    </w:pPr>
  </w:p>
  <w:p>
    <w:pPr>
      <w:ind w:firstLine="640"/>
    </w:pPr>
  </w:p>
  <w:p>
    <w:pPr>
      <w:ind w:firstLine="640"/>
    </w:pPr>
  </w:p>
  <w:p>
    <w:pPr>
      <w:ind w:firstLine="64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kzNGJmNGZhNDc3YjUzOGQ2YjlhMTVhMGUxZGEifQ=="/>
  </w:docVars>
  <w:rsids>
    <w:rsidRoot w:val="382A3F10"/>
    <w:rsid w:val="382A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tabs>
        <w:tab w:val="left" w:pos="0"/>
        <w:tab w:val="left" w:pos="312"/>
      </w:tabs>
      <w:adjustRightInd w:val="0"/>
      <w:snapToGrid w:val="0"/>
      <w:ind w:firstLine="400" w:firstLineChars="200"/>
      <w:jc w:val="left"/>
      <w:outlineLvl w:val="0"/>
    </w:pPr>
    <w:rPr>
      <w:rFonts w:ascii="黑体" w:hAnsi="黑体" w:eastAsia="黑体" w:cs="仿宋"/>
      <w:kern w:val="4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ind w:firstLine="0" w:firstLineChars="0"/>
      <w:jc w:val="center"/>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2024-03-01T09:25:00Z</dcterms:created>
  <dc:creator>Ryan Zhang</dc:creator>
  <cp:lastModifiedBy>Ryan Zhang</cp:lastModifiedBy>
  <dcterms:modified xsi:type="dcterms:W3CDTF">2024-03-01T09:25:55Z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C02A05F559F647088D1EDB62A6FF89B0_11</vt:lpwstr>
  </property>
</Properties>
</file>