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color w:val="000000"/>
          <w:sz w:val="36"/>
          <w:szCs w:val="36"/>
        </w:rPr>
      </w:pPr>
      <w:bookmarkStart w:id="0" w:name="_GoBack"/>
      <w:r>
        <w:rPr>
          <w:rFonts w:hint="eastAsia"/>
          <w:color w:val="000000"/>
          <w:sz w:val="36"/>
          <w:szCs w:val="36"/>
        </w:rPr>
        <w:t>中国农业科学院兰州兽医研究所研究生和专家宿舍及配套用房建设项目</w:t>
      </w:r>
      <w:r>
        <w:rPr>
          <w:rFonts w:hint="eastAsia"/>
          <w:color w:val="000000"/>
          <w:sz w:val="36"/>
          <w:szCs w:val="36"/>
          <w:lang w:val="en-US" w:eastAsia="zh-CN"/>
        </w:rPr>
        <w:t>幕墙</w:t>
      </w:r>
      <w:r>
        <w:rPr>
          <w:rFonts w:hint="eastAsia"/>
          <w:color w:val="000000"/>
          <w:sz w:val="36"/>
          <w:szCs w:val="36"/>
        </w:rPr>
        <w:t>技术参数</w:t>
      </w:r>
    </w:p>
    <w:bookmarkEnd w:id="0"/>
    <w:p>
      <w:pPr>
        <w:rPr>
          <w:rFonts w:hint="eastAsia"/>
          <w:color w:val="000000"/>
        </w:rPr>
      </w:pPr>
    </w:p>
    <w:p>
      <w:pPr>
        <w:rPr>
          <w:color w:val="000000"/>
        </w:rPr>
      </w:pPr>
      <w:r>
        <w:rPr>
          <w:rFonts w:hint="eastAsia"/>
          <w:color w:val="000000"/>
        </w:rPr>
        <w:t>一、规范要求</w:t>
      </w:r>
    </w:p>
    <w:p>
      <w:pPr>
        <w:ind w:firstLine="420"/>
        <w:rPr>
          <w:color w:val="000000"/>
        </w:rPr>
      </w:pPr>
      <w:r>
        <w:rPr>
          <w:rFonts w:hint="eastAsia"/>
          <w:color w:val="000000"/>
        </w:rPr>
        <w:t>除另有注明外，本工程须符合设计要求、图纸和国家、地方及行业相关标准，主要包括但不限于：</w:t>
      </w:r>
    </w:p>
    <w:p>
      <w:pPr>
        <w:ind w:firstLine="420"/>
        <w:rPr>
          <w:rFonts w:hint="eastAsia"/>
          <w:color w:val="000000"/>
        </w:rPr>
      </w:pPr>
      <w:r>
        <w:rPr>
          <w:rFonts w:hint="eastAsia"/>
          <w:color w:val="000000"/>
          <w:lang w:val="en-US" w:eastAsia="zh-CN"/>
        </w:rPr>
        <w:t xml:space="preserve">规范标准参考依据： </w:t>
      </w:r>
    </w:p>
    <w:p>
      <w:pPr>
        <w:ind w:firstLine="420"/>
        <w:rPr>
          <w:rFonts w:hint="eastAsia"/>
          <w:color w:val="000000"/>
        </w:rPr>
      </w:pPr>
      <w:r>
        <w:rPr>
          <w:rFonts w:hint="eastAsia"/>
          <w:color w:val="000000"/>
          <w:lang w:val="en-US" w:eastAsia="zh-CN"/>
        </w:rPr>
        <w:t xml:space="preserve">《公共建筑节能设计标准》(GB50189-2015)。 </w:t>
      </w:r>
    </w:p>
    <w:p>
      <w:pPr>
        <w:ind w:firstLine="420"/>
        <w:jc w:val="both"/>
        <w:rPr>
          <w:rFonts w:hint="eastAsia"/>
          <w:color w:val="000000"/>
        </w:rPr>
      </w:pPr>
      <w:r>
        <w:rPr>
          <w:rFonts w:hint="eastAsia"/>
          <w:color w:val="000000"/>
          <w:lang w:val="en-US" w:eastAsia="zh-CN"/>
        </w:rPr>
        <w:t>《建筑幕墙》（GB/T 21086-2007）。</w:t>
      </w:r>
    </w:p>
    <w:p>
      <w:pPr>
        <w:ind w:firstLine="420"/>
        <w:rPr>
          <w:rFonts w:hint="eastAsia"/>
          <w:color w:val="000000"/>
        </w:rPr>
      </w:pPr>
      <w:r>
        <w:rPr>
          <w:rFonts w:hint="eastAsia"/>
          <w:color w:val="000000"/>
          <w:lang w:val="en-US" w:eastAsia="zh-CN"/>
        </w:rPr>
        <w:t xml:space="preserve">《民用建筑热工设计规范》（GB50176-2016）。 </w:t>
      </w:r>
    </w:p>
    <w:p>
      <w:pPr>
        <w:ind w:firstLine="420"/>
        <w:rPr>
          <w:rFonts w:hint="eastAsia"/>
          <w:color w:val="000000"/>
          <w:lang w:val="en-US" w:eastAsia="zh-CN"/>
        </w:rPr>
      </w:pPr>
      <w:r>
        <w:rPr>
          <w:rFonts w:hint="eastAsia"/>
          <w:color w:val="000000"/>
          <w:lang w:val="en-US" w:eastAsia="zh-CN"/>
        </w:rPr>
        <w:t>《建筑外门窗气密、水密、抗风压性能分级及检测方法》（GB/T7106-2008）。</w:t>
      </w:r>
    </w:p>
    <w:p>
      <w:pPr>
        <w:ind w:firstLine="420"/>
        <w:rPr>
          <w:rFonts w:hint="eastAsia"/>
          <w:color w:val="000000"/>
          <w:lang w:val="en-US" w:eastAsia="zh-CN"/>
        </w:rPr>
      </w:pPr>
      <w:r>
        <w:rPr>
          <w:rFonts w:hint="eastAsia"/>
          <w:color w:val="000000"/>
          <w:lang w:val="en-US" w:eastAsia="zh-CN"/>
        </w:rPr>
        <w:t>《铝合金建筑型材》GB/T5237.1-5237.5-2008</w:t>
      </w:r>
    </w:p>
    <w:p>
      <w:pPr>
        <w:ind w:firstLine="420"/>
        <w:rPr>
          <w:rFonts w:hint="eastAsia"/>
          <w:color w:val="000000"/>
          <w:lang w:val="en-US" w:eastAsia="zh-CN"/>
        </w:rPr>
      </w:pPr>
      <w:r>
        <w:rPr>
          <w:rFonts w:hint="eastAsia"/>
          <w:color w:val="000000"/>
          <w:lang w:val="en-US" w:eastAsia="zh-CN"/>
        </w:rPr>
        <w:t>《建筑工程施工质量验收统一标准》GB50300-2001</w:t>
      </w:r>
    </w:p>
    <w:p>
      <w:pPr>
        <w:ind w:firstLine="420"/>
        <w:rPr>
          <w:rFonts w:hint="eastAsia"/>
          <w:color w:val="000000"/>
          <w:lang w:val="en-US" w:eastAsia="zh-CN"/>
        </w:rPr>
      </w:pPr>
      <w:r>
        <w:rPr>
          <w:rFonts w:hint="eastAsia"/>
          <w:color w:val="000000"/>
          <w:lang w:val="en-US" w:eastAsia="zh-CN"/>
        </w:rPr>
        <w:t>《《建筑外窗保温性能分级及检测方法》GB/T8484-2008</w:t>
      </w:r>
    </w:p>
    <w:p>
      <w:pPr>
        <w:ind w:firstLine="420"/>
        <w:rPr>
          <w:rFonts w:hint="eastAsia"/>
          <w:color w:val="000000"/>
          <w:lang w:val="en-US" w:eastAsia="zh-CN"/>
        </w:rPr>
      </w:pPr>
      <w:r>
        <w:rPr>
          <w:rFonts w:hint="eastAsia"/>
          <w:color w:val="000000"/>
          <w:lang w:val="en-US" w:eastAsia="zh-CN"/>
        </w:rPr>
        <w:t>《建筑外窗空气隔声性能分级及检测方法》GB/T8485-2008</w:t>
      </w:r>
    </w:p>
    <w:p>
      <w:pPr>
        <w:ind w:firstLine="420"/>
        <w:rPr>
          <w:rFonts w:hint="eastAsia"/>
          <w:color w:val="000000"/>
          <w:lang w:val="en-US" w:eastAsia="zh-CN"/>
        </w:rPr>
      </w:pPr>
      <w:r>
        <w:rPr>
          <w:rFonts w:hint="eastAsia"/>
          <w:color w:val="000000"/>
          <w:lang w:val="en-US" w:eastAsia="zh-CN"/>
        </w:rPr>
        <w:t>《建筑玻璃应用技术规程》JGJ113-2015</w:t>
      </w:r>
    </w:p>
    <w:p>
      <w:pPr>
        <w:ind w:firstLine="420"/>
        <w:rPr>
          <w:color w:val="000000"/>
        </w:rPr>
      </w:pPr>
      <w:r>
        <w:rPr>
          <w:rFonts w:hint="eastAsia"/>
          <w:color w:val="000000"/>
        </w:rPr>
        <w:t>说明：以上规范、标准如有最新颁布版本，则以最新版本为准。其他未在本招标文件中明确的国家现行规范、标准亦对本招标文件所涉及产品具有约束作用。</w:t>
      </w:r>
    </w:p>
    <w:p>
      <w:pPr>
        <w:ind w:firstLine="420" w:firstLineChars="200"/>
        <w:rPr>
          <w:rFonts w:hint="eastAsia"/>
          <w:color w:val="000000"/>
        </w:rPr>
      </w:pPr>
      <w:r>
        <w:rPr>
          <w:rFonts w:hint="eastAsia"/>
          <w:color w:val="000000"/>
        </w:rPr>
        <w:t>二、</w:t>
      </w:r>
      <w:r>
        <w:rPr>
          <w:rFonts w:hint="eastAsia"/>
          <w:color w:val="000000"/>
          <w:lang w:val="en-US" w:eastAsia="zh-CN"/>
        </w:rPr>
        <w:t>幕墙</w:t>
      </w:r>
      <w:r>
        <w:rPr>
          <w:rFonts w:hint="eastAsia"/>
          <w:color w:val="000000"/>
        </w:rPr>
        <w:t>技术参数要求</w:t>
      </w:r>
    </w:p>
    <w:p>
      <w:pPr>
        <w:ind w:firstLine="420" w:firstLineChars="200"/>
        <w:rPr>
          <w:rFonts w:hint="eastAsia"/>
          <w:color w:val="000000"/>
          <w:lang w:val="en-US" w:eastAsia="zh-CN"/>
        </w:rPr>
      </w:pPr>
      <w:r>
        <w:rPr>
          <w:rFonts w:hint="eastAsia"/>
          <w:color w:val="000000"/>
          <w:lang w:val="en-US" w:eastAsia="zh-CN"/>
        </w:rPr>
        <w:t>（一）招标范围</w:t>
      </w:r>
    </w:p>
    <w:p>
      <w:pPr>
        <w:ind w:firstLine="420" w:firstLineChars="200"/>
        <w:rPr>
          <w:rFonts w:hint="default"/>
          <w:color w:val="000000"/>
          <w:lang w:val="en-US" w:eastAsia="zh-CN"/>
        </w:rPr>
      </w:pPr>
      <w:r>
        <w:rPr>
          <w:rFonts w:hint="eastAsia"/>
          <w:color w:val="000000"/>
          <w:lang w:val="en-US" w:eastAsia="zh-CN"/>
        </w:rPr>
        <w:t>1-2楼、22楼玻璃幕，面积约为250平方米（面积以实际测量为准，以实际完成量结算）。</w:t>
      </w:r>
    </w:p>
    <w:p>
      <w:pPr>
        <w:pStyle w:val="4"/>
        <w:spacing w:line="240" w:lineRule="auto"/>
        <w:rPr>
          <w:rFonts w:hint="default" w:ascii="Times New Roman" w:hAnsi="Times New Roman" w:eastAsia="宋体" w:cs="Times New Roman"/>
          <w:color w:val="000000"/>
          <w:kern w:val="2"/>
          <w:sz w:val="21"/>
          <w:szCs w:val="24"/>
          <w:lang w:val="en-US" w:eastAsia="zh-CN" w:bidi="ar-SA"/>
        </w:rPr>
      </w:pPr>
      <w:r>
        <w:rPr>
          <w:rFonts w:hint="eastAsia" w:cs="Times New Roman"/>
          <w:color w:val="000000"/>
          <w:kern w:val="2"/>
          <w:sz w:val="21"/>
          <w:szCs w:val="24"/>
          <w:lang w:val="en-US" w:eastAsia="zh-CN" w:bidi="ar-SA"/>
        </w:rPr>
        <w:t>（二）</w:t>
      </w:r>
      <w:r>
        <w:rPr>
          <w:rFonts w:hint="eastAsia" w:ascii="Times New Roman" w:hAnsi="Times New Roman" w:eastAsia="宋体" w:cs="Times New Roman"/>
          <w:color w:val="000000"/>
          <w:kern w:val="2"/>
          <w:sz w:val="21"/>
          <w:szCs w:val="24"/>
          <w:lang w:val="en-US" w:eastAsia="zh-CN" w:bidi="ar-SA"/>
        </w:rPr>
        <w:t>幕墙型式</w:t>
      </w:r>
    </w:p>
    <w:p>
      <w:pPr>
        <w:ind w:firstLine="420" w:firstLineChars="200"/>
        <w:rPr>
          <w:rFonts w:hint="eastAsia"/>
          <w:color w:val="000000"/>
        </w:rPr>
      </w:pPr>
      <w:r>
        <w:rPr>
          <w:rFonts w:hint="eastAsia" w:ascii="Times New Roman" w:hAnsi="Times New Roman" w:eastAsia="宋体" w:cs="Times New Roman"/>
          <w:color w:val="000000"/>
          <w:kern w:val="2"/>
          <w:sz w:val="21"/>
          <w:szCs w:val="24"/>
          <w:lang w:val="en-US" w:eastAsia="zh-CN" w:bidi="ar-SA"/>
        </w:rPr>
        <w:t>玻璃幕墙选用横隐竖明方式，</w:t>
      </w:r>
      <w:r>
        <w:rPr>
          <w:rFonts w:hint="eastAsia" w:cs="Times New Roman"/>
          <w:color w:val="000000"/>
          <w:kern w:val="2"/>
          <w:sz w:val="21"/>
          <w:szCs w:val="24"/>
          <w:lang w:val="en-US" w:eastAsia="zh-CN" w:bidi="ar-SA"/>
        </w:rPr>
        <w:t>1-2楼</w:t>
      </w:r>
      <w:r>
        <w:rPr>
          <w:rFonts w:hint="eastAsia" w:ascii="Times New Roman" w:hAnsi="Times New Roman" w:eastAsia="宋体" w:cs="Times New Roman"/>
          <w:color w:val="000000"/>
          <w:kern w:val="2"/>
          <w:sz w:val="21"/>
          <w:szCs w:val="24"/>
          <w:lang w:val="en-US" w:eastAsia="zh-CN" w:bidi="ar-SA"/>
        </w:rPr>
        <w:t>幕墙间立柱干挂石材</w:t>
      </w:r>
      <w:r>
        <w:rPr>
          <w:rFonts w:hint="eastAsia" w:cs="Times New Roman"/>
          <w:color w:val="000000"/>
          <w:kern w:val="2"/>
          <w:sz w:val="21"/>
          <w:szCs w:val="24"/>
          <w:lang w:val="en-US" w:eastAsia="zh-CN" w:bidi="ar-SA"/>
        </w:rPr>
        <w:t>（不含），22楼幕墙间立柱贴一体板（不含）</w:t>
      </w:r>
      <w:r>
        <w:rPr>
          <w:rFonts w:hint="eastAsia" w:ascii="Times New Roman" w:hAnsi="Times New Roman" w:eastAsia="宋体" w:cs="Times New Roman"/>
          <w:color w:val="000000"/>
          <w:kern w:val="2"/>
          <w:sz w:val="21"/>
          <w:szCs w:val="24"/>
          <w:lang w:val="en-US" w:eastAsia="zh-CN" w:bidi="ar-SA"/>
        </w:rPr>
        <w:t>。</w:t>
      </w:r>
    </w:p>
    <w:p>
      <w:pPr>
        <w:ind w:firstLine="420" w:firstLineChars="200"/>
        <w:rPr>
          <w:rFonts w:hint="default"/>
          <w:color w:val="000000"/>
          <w:lang w:val="en-US" w:eastAsia="zh-CN"/>
        </w:rPr>
      </w:pPr>
      <w:r>
        <w:rPr>
          <w:rFonts w:hint="eastAsia"/>
          <w:color w:val="000000"/>
        </w:rPr>
        <w:t>（</w:t>
      </w:r>
      <w:r>
        <w:rPr>
          <w:rFonts w:hint="eastAsia"/>
          <w:color w:val="000000"/>
          <w:lang w:val="en-US" w:eastAsia="zh-CN"/>
        </w:rPr>
        <w:t>三</w:t>
      </w:r>
      <w:r>
        <w:rPr>
          <w:rFonts w:hint="eastAsia"/>
          <w:color w:val="000000"/>
        </w:rPr>
        <w:t>）</w:t>
      </w:r>
      <w:r>
        <w:rPr>
          <w:rFonts w:hint="eastAsia"/>
          <w:color w:val="000000"/>
          <w:lang w:val="en-US" w:eastAsia="zh-CN"/>
        </w:rPr>
        <w:t>材料配置</w:t>
      </w:r>
    </w:p>
    <w:p>
      <w:pPr>
        <w:numPr>
          <w:ilvl w:val="0"/>
          <w:numId w:val="0"/>
        </w:numPr>
        <w:ind w:firstLine="420" w:firstLineChars="200"/>
        <w:rPr>
          <w:rFonts w:hint="eastAsia"/>
          <w:color w:val="000000"/>
        </w:rPr>
      </w:pPr>
      <w:r>
        <w:rPr>
          <w:rFonts w:hint="eastAsia"/>
          <w:color w:val="000000"/>
          <w:lang w:val="en-US" w:eastAsia="zh-CN"/>
        </w:rPr>
        <w:t>1.铝</w:t>
      </w:r>
      <w:r>
        <w:rPr>
          <w:rFonts w:hint="eastAsia"/>
          <w:color w:val="000000"/>
        </w:rPr>
        <w:t>型材</w:t>
      </w:r>
    </w:p>
    <w:p>
      <w:pPr>
        <w:numPr>
          <w:ilvl w:val="0"/>
          <w:numId w:val="0"/>
        </w:numPr>
        <w:ind w:firstLine="420" w:firstLineChars="200"/>
        <w:rPr>
          <w:rFonts w:hint="default" w:eastAsia="宋体"/>
          <w:color w:val="000000"/>
          <w:lang w:val="en-US" w:eastAsia="zh-CN"/>
        </w:rPr>
      </w:pPr>
      <w:r>
        <w:rPr>
          <w:rFonts w:hint="eastAsia"/>
          <w:color w:val="000000"/>
          <w:lang w:val="en-US" w:eastAsia="zh-CN"/>
        </w:rPr>
        <w:t>铝型材选用横隐竖明140系列，壁厚3.0mm，型材表面为氟碳喷涂（能经受太阳光照射不褪色）。铝材打螺丝处加强荆厚度选用4.5mm。品牌选用宏达，铭帝，兴发之一。并应同时提供国家质量检测认证书及产品合格证，所有型材应保持同一品牌。</w:t>
      </w:r>
    </w:p>
    <w:p>
      <w:pPr>
        <w:pStyle w:val="4"/>
        <w:spacing w:line="240" w:lineRule="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说明：玻璃幕墙采用的铝合金型材应符合现行最新国家标准的规定；铝合金的表面处理层厚度和材质应符合现行最新国家标准的有关规定。</w:t>
      </w:r>
    </w:p>
    <w:p>
      <w:pPr>
        <w:numPr>
          <w:ilvl w:val="0"/>
          <w:numId w:val="0"/>
        </w:numPr>
        <w:spacing w:line="240" w:lineRule="auto"/>
        <w:ind w:firstLine="420" w:firstLineChars="20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2.玻璃</w:t>
      </w:r>
    </w:p>
    <w:p>
      <w:pPr>
        <w:pStyle w:val="4"/>
        <w:spacing w:line="240" w:lineRule="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玻璃选用6mm高透光中空LOW-E玻璃，玻璃结构6TPLOW-E+12A结+6TP，颜色需与门窗保持一致或高度相似需经甲方最终确认，保温性能中传热系数需小于《1.74W/（m2•K）。其单位缝长空气渗透量q1不大于1.0m3/(m h)；单位面积空气渗透量q2不大于3.0m3/(m2 h)。玻璃品牌选用南玻，台玻，耀皮之一，且中空玻璃两片玻璃选用同一厂家。</w:t>
      </w:r>
    </w:p>
    <w:p>
      <w:pPr>
        <w:pStyle w:val="4"/>
        <w:spacing w:line="240" w:lineRule="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说明：幕墙的中空玻璃应采用双道密封。中空玻璃的密封胶应采用结构硅酮密封胶和丁基密封腻子，玻璃幕墙气密性满足《公共建筑节能设计标准》(GB50189-2015)第3.3.6条的要求。玻璃幕墙中空玻璃的干燥剂保证足量填充。玻璃夹层内不得有灰尘和水汽，隔条不得翘起，隔条要求一次成型。所有幕墙玻璃应进行边缘处理。幕墙玻璃成像清晰无扭曲变形。</w:t>
      </w:r>
    </w:p>
    <w:p>
      <w:pPr>
        <w:numPr>
          <w:ilvl w:val="0"/>
          <w:numId w:val="0"/>
        </w:numPr>
        <w:spacing w:line="240" w:lineRule="auto"/>
        <w:ind w:firstLine="420" w:firstLineChars="20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3.预埋件及螺栓</w:t>
      </w:r>
    </w:p>
    <w:p>
      <w:pPr>
        <w:pStyle w:val="4"/>
        <w:numPr>
          <w:ilvl w:val="0"/>
          <w:numId w:val="0"/>
        </w:numPr>
        <w:spacing w:line="240" w:lineRule="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预埋件选用碳钢，不锈钢，合金钢材质。</w:t>
      </w:r>
      <w:r>
        <w:rPr>
          <w:rFonts w:hint="eastAsia" w:cs="Times New Roman"/>
          <w:color w:val="000000"/>
          <w:kern w:val="2"/>
          <w:sz w:val="21"/>
          <w:szCs w:val="24"/>
          <w:lang w:val="en-US" w:eastAsia="zh-CN" w:bidi="ar-SA"/>
        </w:rPr>
        <w:t>若选用碳钢预埋件，</w:t>
      </w:r>
      <w:r>
        <w:rPr>
          <w:rFonts w:hint="eastAsia" w:ascii="Times New Roman" w:hAnsi="Times New Roman" w:eastAsia="宋体" w:cs="Times New Roman"/>
          <w:color w:val="000000"/>
          <w:kern w:val="2"/>
          <w:sz w:val="21"/>
          <w:szCs w:val="24"/>
          <w:lang w:val="en-US" w:eastAsia="zh-CN" w:bidi="ar-SA"/>
        </w:rPr>
        <w:t>表面进行热浸镀锌处理。规格为200*250*8，螺栓为M12*110不锈钢，M6*80不锈钢螺栓，转接件用穿心螺栓镀锌。</w:t>
      </w:r>
    </w:p>
    <w:p>
      <w:pPr>
        <w:numPr>
          <w:ilvl w:val="0"/>
          <w:numId w:val="0"/>
        </w:numPr>
        <w:spacing w:line="240" w:lineRule="auto"/>
        <w:ind w:firstLine="420" w:firstLineChars="20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4.建筑密封材料：</w:t>
      </w:r>
    </w:p>
    <w:p>
      <w:pPr>
        <w:pStyle w:val="4"/>
        <w:spacing w:line="240" w:lineRule="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玻璃幕墙采用的结构胶，耐候胶应具有耐水、耐溶剂和耐大气老化性，并应有低温弹性、低透气性等特点。只准使用同一牌号和同一批号的密封胶，所采用的胶类符合《建筑用硅酮结构密封胶》GB16776的规定。胶选用“中原”“之江”“硅宝”“安泰”之一。施工安装企业必须提供下列资料备查：生产企业的结构胶产品合格证。密封胶的购销记录。</w:t>
      </w:r>
    </w:p>
    <w:p>
      <w:pPr>
        <w:pStyle w:val="4"/>
        <w:spacing w:line="240" w:lineRule="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玻璃幕墙应采用中性硅酮耐候密封胶，结构硅酮密封胶采用高模数中性胶；硅酮结构密封胶分单组份和双组份，其性能符合现行国家标准《建筑用硅酮结构密封胶》（GB 16776）的规定。</w:t>
      </w:r>
    </w:p>
    <w:p>
      <w:pPr>
        <w:pStyle w:val="4"/>
        <w:spacing w:line="240" w:lineRule="auto"/>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说明：同一幕墙工程应采用同一品牌的单组分或双组分的硅酮结构密封胶，并应有保质年限的质量证书。同一幕墙工程应采用同一品牌的硅酮结构密封胶和硅酮耐候密封胶配套使用。硅酮结构密封胶和硅酮耐候密封胶应在有效期内使用。</w:t>
      </w:r>
    </w:p>
    <w:p>
      <w:pPr>
        <w:pStyle w:val="12"/>
        <w:spacing w:line="240" w:lineRule="auto"/>
        <w:ind w:firstLine="48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5.低发泡间隔双面胶带：</w:t>
      </w:r>
    </w:p>
    <w:p>
      <w:pPr>
        <w:pStyle w:val="4"/>
        <w:spacing w:line="240" w:lineRule="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根据玻璃幕墙的风荷载、高度和玻璃的大小，选用低发泡间隔双面胶带。需严格按玻璃幕墙风荷载大小执行。</w:t>
      </w:r>
    </w:p>
    <w:p>
      <w:pPr>
        <w:pStyle w:val="12"/>
        <w:spacing w:line="240" w:lineRule="auto"/>
        <w:ind w:firstLine="48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6.其他材料：</w:t>
      </w:r>
    </w:p>
    <w:p>
      <w:pPr>
        <w:pStyle w:val="4"/>
        <w:spacing w:line="240" w:lineRule="auto"/>
        <w:rPr>
          <w:rFonts w:hint="default"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小五金，纸胶带，泡沫棒等幕墙安装过程终所需产品均需符合相应产品最新国家标准。</w:t>
      </w:r>
    </w:p>
    <w:p>
      <w:pPr>
        <w:pStyle w:val="4"/>
        <w:spacing w:line="240" w:lineRule="auto"/>
        <w:rPr>
          <w:rFonts w:hint="eastAsia" w:cs="Times New Roman"/>
          <w:color w:val="000000"/>
          <w:kern w:val="2"/>
          <w:sz w:val="21"/>
          <w:szCs w:val="24"/>
          <w:lang w:val="en-US" w:eastAsia="zh-CN" w:bidi="ar-SA"/>
        </w:rPr>
      </w:pPr>
      <w:r>
        <w:rPr>
          <w:rFonts w:hint="eastAsia" w:cs="Times New Roman"/>
          <w:color w:val="000000"/>
          <w:kern w:val="2"/>
          <w:sz w:val="21"/>
          <w:szCs w:val="24"/>
          <w:lang w:val="en-US" w:eastAsia="zh-CN" w:bidi="ar-SA"/>
        </w:rPr>
        <w:t>三、施工要求</w:t>
      </w:r>
    </w:p>
    <w:p>
      <w:pPr>
        <w:pStyle w:val="4"/>
        <w:spacing w:line="240" w:lineRule="auto"/>
        <w:rPr>
          <w:rFonts w:hint="eastAsia"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玻璃幕墙四周与主体结构之间的缝隙</w:t>
      </w:r>
      <w:r>
        <w:rPr>
          <w:rFonts w:hint="eastAsia" w:cs="Times New Roman"/>
          <w:color w:val="000000"/>
          <w:kern w:val="2"/>
          <w:sz w:val="21"/>
          <w:szCs w:val="24"/>
          <w:lang w:val="en-US" w:eastAsia="zh-CN" w:bidi="ar-SA"/>
        </w:rPr>
        <w:t>应严格密封，且平整、美观、不渗漏。</w:t>
      </w:r>
    </w:p>
    <w:p>
      <w:pPr>
        <w:pStyle w:val="4"/>
        <w:spacing w:line="240" w:lineRule="auto"/>
        <w:rPr>
          <w:rFonts w:hint="eastAsia" w:cs="Times New Roman"/>
          <w:color w:val="000000"/>
          <w:kern w:val="2"/>
          <w:sz w:val="21"/>
          <w:szCs w:val="24"/>
          <w:lang w:val="en-US" w:eastAsia="zh-CN" w:bidi="ar-SA"/>
        </w:rPr>
      </w:pPr>
      <w:r>
        <w:rPr>
          <w:rFonts w:hint="eastAsia" w:cs="Times New Roman"/>
          <w:color w:val="000000"/>
          <w:kern w:val="2"/>
          <w:sz w:val="21"/>
          <w:szCs w:val="24"/>
          <w:lang w:val="en-US" w:eastAsia="zh-CN" w:bidi="ar-SA"/>
        </w:rPr>
        <w:t>四、报价要求</w:t>
      </w:r>
    </w:p>
    <w:p>
      <w:pPr>
        <w:pStyle w:val="4"/>
        <w:spacing w:line="240" w:lineRule="auto"/>
        <w:rPr>
          <w:rFonts w:hint="default" w:cs="Times New Roman"/>
          <w:color w:val="000000"/>
          <w:kern w:val="2"/>
          <w:sz w:val="21"/>
          <w:szCs w:val="24"/>
          <w:lang w:val="en-US" w:eastAsia="zh-CN" w:bidi="ar-SA"/>
        </w:rPr>
      </w:pPr>
      <w:r>
        <w:rPr>
          <w:rFonts w:hint="eastAsia" w:cs="Times New Roman"/>
          <w:color w:val="000000"/>
          <w:kern w:val="2"/>
          <w:sz w:val="21"/>
          <w:szCs w:val="24"/>
          <w:lang w:val="en-US" w:eastAsia="zh-CN" w:bidi="ar-SA"/>
        </w:rPr>
        <w:t>价格包含玻璃幕的全部内容以及与周围主体结构的密封，总包管理费。</w:t>
      </w:r>
    </w:p>
    <w:p>
      <w:pPr>
        <w:pStyle w:val="4"/>
        <w:spacing w:line="240" w:lineRule="auto"/>
        <w:rPr>
          <w:rFonts w:hint="default" w:cs="Times New Roman"/>
          <w:color w:val="000000"/>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30BA3"/>
    <w:multiLevelType w:val="multilevel"/>
    <w:tmpl w:val="3BF30BA3"/>
    <w:lvl w:ilvl="0" w:tentative="0">
      <w:start w:val="1"/>
      <w:numFmt w:val="chineseCountingThousand"/>
      <w:lvlText w:val="第%1章"/>
      <w:lvlJc w:val="left"/>
      <w:pPr>
        <w:tabs>
          <w:tab w:val="left" w:pos="1701"/>
        </w:tabs>
        <w:ind w:left="1701" w:hanging="1701"/>
      </w:pPr>
      <w:rPr>
        <w:rFonts w:hint="eastAsia" w:ascii="宋体" w:eastAsia="宋体"/>
        <w:b/>
        <w:i w:val="0"/>
        <w:sz w:val="24"/>
      </w:rPr>
    </w:lvl>
    <w:lvl w:ilvl="1" w:tentative="0">
      <w:start w:val="1"/>
      <w:numFmt w:val="chineseCountingThousand"/>
      <w:lvlText w:val="第%2节"/>
      <w:lvlJc w:val="left"/>
      <w:pPr>
        <w:tabs>
          <w:tab w:val="left" w:pos="1418"/>
        </w:tabs>
        <w:ind w:left="1418" w:hanging="1418"/>
      </w:pPr>
      <w:rPr>
        <w:rFonts w:hint="eastAsia" w:ascii="宋体" w:eastAsia="宋体"/>
        <w:b/>
        <w:i w:val="0"/>
        <w:sz w:val="24"/>
      </w:rPr>
    </w:lvl>
    <w:lvl w:ilvl="2" w:tentative="0">
      <w:start w:val="1"/>
      <w:numFmt w:val="chineseCountingThousand"/>
      <w:lvlText w:val="%3、"/>
      <w:lvlJc w:val="left"/>
      <w:pPr>
        <w:tabs>
          <w:tab w:val="left" w:pos="1174"/>
        </w:tabs>
        <w:ind w:left="0" w:firstLine="454"/>
      </w:pPr>
      <w:rPr>
        <w:rFonts w:hint="default" w:ascii="Arial" w:hAnsi="Arial" w:eastAsia="宋体"/>
        <w:b/>
        <w:i w:val="0"/>
        <w:sz w:val="24"/>
      </w:rPr>
    </w:lvl>
    <w:lvl w:ilvl="3" w:tentative="0">
      <w:start w:val="1"/>
      <w:numFmt w:val="decimal"/>
      <w:lvlText w:val="%4."/>
      <w:lvlJc w:val="left"/>
      <w:pPr>
        <w:tabs>
          <w:tab w:val="left" w:pos="859"/>
        </w:tabs>
        <w:ind w:left="0" w:firstLine="499"/>
      </w:pPr>
      <w:rPr>
        <w:rFonts w:hint="eastAsia" w:ascii="宋体" w:eastAsia="宋体"/>
        <w:b w:val="0"/>
        <w:i w:val="0"/>
        <w:color w:val="auto"/>
        <w:sz w:val="24"/>
      </w:rPr>
    </w:lvl>
    <w:lvl w:ilvl="4" w:tentative="0">
      <w:start w:val="1"/>
      <w:numFmt w:val="decimal"/>
      <w:pStyle w:val="11"/>
      <w:lvlText w:val="%5)"/>
      <w:lvlJc w:val="left"/>
      <w:pPr>
        <w:tabs>
          <w:tab w:val="left" w:pos="859"/>
        </w:tabs>
        <w:ind w:left="0" w:firstLine="499"/>
      </w:pPr>
      <w:rPr>
        <w:rFonts w:hint="eastAsia" w:ascii="宋体" w:eastAsia="宋体"/>
        <w:b w:val="0"/>
        <w:i w:val="0"/>
        <w:color w:val="auto"/>
        <w:sz w:val="24"/>
      </w:rPr>
    </w:lvl>
    <w:lvl w:ilvl="5" w:tentative="0">
      <w:start w:val="1"/>
      <w:numFmt w:val="lowerLetter"/>
      <w:pStyle w:val="15"/>
      <w:lvlText w:val="%6."/>
      <w:lvlJc w:val="left"/>
      <w:pPr>
        <w:tabs>
          <w:tab w:val="left" w:pos="859"/>
        </w:tabs>
        <w:ind w:left="0" w:firstLine="499"/>
      </w:pPr>
      <w:rPr>
        <w:rFonts w:hint="eastAsia" w:ascii="宋体" w:eastAsia="宋体"/>
        <w:b w:val="0"/>
        <w:i w:val="0"/>
        <w:sz w:val="28"/>
      </w:rPr>
    </w:lvl>
    <w:lvl w:ilvl="6" w:tentative="0">
      <w:start w:val="1"/>
      <w:numFmt w:val="decimal"/>
      <w:lvlText w:val="%1.%2.%3.%4.%5.%6.%7"/>
      <w:lvlJc w:val="left"/>
      <w:pPr>
        <w:tabs>
          <w:tab w:val="left" w:pos="2280"/>
        </w:tabs>
        <w:ind w:left="2280" w:hanging="1440"/>
      </w:pPr>
      <w:rPr>
        <w:rFonts w:hint="default"/>
      </w:rPr>
    </w:lvl>
    <w:lvl w:ilvl="7" w:tentative="0">
      <w:start w:val="1"/>
      <w:numFmt w:val="decimal"/>
      <w:lvlText w:val="%1.%2.%3.%4.%5.%6.%7.%8"/>
      <w:lvlJc w:val="left"/>
      <w:pPr>
        <w:tabs>
          <w:tab w:val="left" w:pos="2280"/>
        </w:tabs>
        <w:ind w:left="2280" w:hanging="1440"/>
      </w:pPr>
      <w:rPr>
        <w:rFonts w:hint="default"/>
      </w:rPr>
    </w:lvl>
    <w:lvl w:ilvl="8" w:tentative="0">
      <w:start w:val="1"/>
      <w:numFmt w:val="decimal"/>
      <w:lvlText w:val="%1.%2.%3.%4.%5.%6.%7.%8.%9"/>
      <w:lvlJc w:val="left"/>
      <w:pPr>
        <w:tabs>
          <w:tab w:val="left" w:pos="2640"/>
        </w:tabs>
        <w:ind w:left="2640" w:hanging="1800"/>
      </w:pPr>
      <w:rPr>
        <w:rFonts w:hint="default"/>
      </w:rPr>
    </w:lvl>
  </w:abstractNum>
  <w:abstractNum w:abstractNumId="1">
    <w:nsid w:val="74E702F4"/>
    <w:multiLevelType w:val="multilevel"/>
    <w:tmpl w:val="74E702F4"/>
    <w:lvl w:ilvl="0" w:tentative="0">
      <w:start w:val="1"/>
      <w:numFmt w:val="decimal"/>
      <w:lvlText w:val="%1"/>
      <w:lvlJc w:val="left"/>
      <w:pPr>
        <w:tabs>
          <w:tab w:val="left" w:pos="567"/>
        </w:tabs>
        <w:ind w:left="567" w:hanging="567"/>
      </w:pPr>
      <w:rPr>
        <w:rFonts w:hint="default" w:ascii="Arial" w:hAnsi="Arial"/>
        <w:b w:val="0"/>
        <w:i w:val="0"/>
        <w:sz w:val="21"/>
      </w:rPr>
    </w:lvl>
    <w:lvl w:ilvl="1" w:tentative="0">
      <w:start w:val="1"/>
      <w:numFmt w:val="decimal"/>
      <w:lvlText w:val="%1.%2"/>
      <w:lvlJc w:val="left"/>
      <w:pPr>
        <w:tabs>
          <w:tab w:val="left" w:pos="947"/>
        </w:tabs>
        <w:ind w:left="947" w:hanging="947"/>
      </w:pPr>
      <w:rPr>
        <w:rFonts w:hint="default" w:ascii="Arial" w:hAnsi="Arial"/>
        <w:b w:val="0"/>
        <w:i w:val="0"/>
        <w:sz w:val="21"/>
      </w:rPr>
    </w:lvl>
    <w:lvl w:ilvl="2" w:tentative="0">
      <w:start w:val="1"/>
      <w:numFmt w:val="decimal"/>
      <w:lvlRestart w:val="1"/>
      <w:lvlText w:val="%1.%2.%3"/>
      <w:lvlJc w:val="left"/>
      <w:pPr>
        <w:tabs>
          <w:tab w:val="left" w:pos="720"/>
        </w:tabs>
        <w:ind w:left="0" w:firstLine="0"/>
      </w:pPr>
      <w:rPr>
        <w:rFonts w:hint="default" w:ascii="Arial" w:hAnsi="Arial"/>
        <w:b w:val="0"/>
        <w:i w:val="0"/>
        <w:sz w:val="21"/>
      </w:rPr>
    </w:lvl>
    <w:lvl w:ilvl="3" w:tentative="0">
      <w:start w:val="1"/>
      <w:numFmt w:val="decimal"/>
      <w:lvlText w:val="%1.%2.%3.%4"/>
      <w:lvlJc w:val="left"/>
      <w:pPr>
        <w:tabs>
          <w:tab w:val="left" w:pos="1080"/>
        </w:tabs>
        <w:ind w:left="0" w:firstLine="0"/>
      </w:pPr>
      <w:rPr>
        <w:rFonts w:hint="default" w:ascii="Arial" w:hAnsi="Arial"/>
        <w:b w:val="0"/>
        <w:i w:val="0"/>
        <w:sz w:val="24"/>
      </w:rPr>
    </w:lvl>
    <w:lvl w:ilvl="4" w:tentative="0">
      <w:start w:val="1"/>
      <w:numFmt w:val="decimal"/>
      <w:pStyle w:val="14"/>
      <w:lvlText w:val="%5)"/>
      <w:lvlJc w:val="left"/>
      <w:pPr>
        <w:tabs>
          <w:tab w:val="left" w:pos="360"/>
        </w:tabs>
        <w:ind w:left="0" w:firstLine="0"/>
      </w:pPr>
      <w:rPr>
        <w:rFonts w:hint="eastAsia" w:ascii="宋体" w:eastAsia="宋体"/>
        <w:b w:val="0"/>
        <w:i w:val="0"/>
        <w:sz w:val="24"/>
      </w:rPr>
    </w:lvl>
    <w:lvl w:ilvl="5" w:tentative="0">
      <w:start w:val="1"/>
      <w:numFmt w:val="lowerLetter"/>
      <w:lvlText w:val="%6."/>
      <w:lvlJc w:val="left"/>
      <w:pPr>
        <w:tabs>
          <w:tab w:val="left" w:pos="947"/>
        </w:tabs>
        <w:ind w:left="947" w:hanging="448"/>
      </w:pPr>
      <w:rPr>
        <w:rFonts w:hint="default" w:ascii="Arial" w:hAnsi="Arial" w:eastAsia="宋体"/>
        <w:b w:val="0"/>
        <w:i w:val="0"/>
        <w:sz w:val="24"/>
      </w:rPr>
    </w:lvl>
    <w:lvl w:ilvl="6" w:tentative="0">
      <w:start w:val="1"/>
      <w:numFmt w:val="decimal"/>
      <w:lvlText w:val="%1.%2.%3.%4.%5.%6.%7"/>
      <w:lvlJc w:val="left"/>
      <w:pPr>
        <w:tabs>
          <w:tab w:val="left" w:pos="180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MjY3MzJmOTE2Y2Q3ZDQxM2MyOWE5ZTY2ZWY1YTEifQ=="/>
  </w:docVars>
  <w:rsids>
    <w:rsidRoot w:val="06282F75"/>
    <w:rsid w:val="015F5DD0"/>
    <w:rsid w:val="06282F75"/>
    <w:rsid w:val="1DF808F8"/>
    <w:rsid w:val="29E5365E"/>
    <w:rsid w:val="304014B2"/>
    <w:rsid w:val="328F15AA"/>
    <w:rsid w:val="375F68D7"/>
    <w:rsid w:val="386E20B2"/>
    <w:rsid w:val="6ACE6346"/>
    <w:rsid w:val="7640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bCs/>
      <w:sz w:val="32"/>
      <w:szCs w:val="32"/>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1624"/>
    <w:pPr>
      <w:spacing w:line="360" w:lineRule="auto"/>
      <w:ind w:firstLine="48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paragraph" w:customStyle="1" w:styleId="11">
    <w:name w:val="1)"/>
    <w:basedOn w:val="1"/>
    <w:qFormat/>
    <w:uiPriority w:val="0"/>
    <w:pPr>
      <w:numPr>
        <w:ilvl w:val="4"/>
        <w:numId w:val="1"/>
      </w:numPr>
      <w:spacing w:line="360" w:lineRule="auto"/>
      <w:outlineLvl w:val="4"/>
    </w:pPr>
    <w:rPr>
      <w:rFonts w:ascii="宋体"/>
      <w:kern w:val="0"/>
      <w:sz w:val="24"/>
    </w:rPr>
  </w:style>
  <w:style w:type="paragraph" w:customStyle="1" w:styleId="12">
    <w:name w:val="中标正文"/>
    <w:basedOn w:val="11"/>
    <w:qFormat/>
    <w:uiPriority w:val="1718"/>
    <w:pPr>
      <w:numPr>
        <w:ilvl w:val="0"/>
        <w:numId w:val="0"/>
      </w:numPr>
      <w:ind w:firstLine="200" w:firstLineChars="200"/>
      <w:outlineLvl w:val="5"/>
    </w:pPr>
    <w:rPr>
      <w:rFonts w:hAnsi="宋体"/>
    </w:rPr>
  </w:style>
  <w:style w:type="paragraph" w:customStyle="1" w:styleId="13">
    <w:name w:val="条"/>
    <w:basedOn w:val="1"/>
    <w:qFormat/>
    <w:uiPriority w:val="1"/>
    <w:pPr>
      <w:tabs>
        <w:tab w:val="left" w:pos="3000"/>
        <w:tab w:val="left" w:pos="3200"/>
      </w:tabs>
      <w:jc w:val="center"/>
    </w:pPr>
    <w:rPr>
      <w:rFonts w:ascii="宋体"/>
      <w:sz w:val="21"/>
    </w:rPr>
  </w:style>
  <w:style w:type="paragraph" w:customStyle="1" w:styleId="14">
    <w:name w:val="项"/>
    <w:basedOn w:val="1"/>
    <w:qFormat/>
    <w:uiPriority w:val="0"/>
    <w:pPr>
      <w:numPr>
        <w:ilvl w:val="4"/>
        <w:numId w:val="2"/>
      </w:numPr>
      <w:spacing w:line="360" w:lineRule="exact"/>
    </w:pPr>
    <w:rPr>
      <w:sz w:val="21"/>
      <w:szCs w:val="24"/>
    </w:rPr>
  </w:style>
  <w:style w:type="paragraph" w:customStyle="1" w:styleId="15">
    <w:name w:val="a."/>
    <w:basedOn w:val="1"/>
    <w:qFormat/>
    <w:uiPriority w:val="0"/>
    <w:pPr>
      <w:numPr>
        <w:ilvl w:val="5"/>
        <w:numId w:val="1"/>
      </w:numPr>
      <w:tabs>
        <w:tab w:val="left" w:pos="340"/>
      </w:tabs>
      <w:adjustRightInd w:val="0"/>
      <w:snapToGrid w:val="0"/>
      <w:spacing w:line="360" w:lineRule="auto"/>
      <w:outlineLvl w:val="5"/>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2023-10-19T07:27:00Z</dcterms:created>
  <dc:creator>郑小墨</dc:creator>
  <cp:lastModifiedBy>Ryan Zhang</cp:lastModifiedBy>
  <dcterms:modified xsi:type="dcterms:W3CDTF">2023-11-21T09:08:34Z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57EB08DC1E094ED4A2C2E072795E1612_13</vt:lpwstr>
  </property>
</Properties>
</file>